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08721B" w:rsidP="00E71FC3">
      <w:pPr>
        <w:pStyle w:val="NoSpacing"/>
      </w:pPr>
      <w:r>
        <w:rPr>
          <w:u w:val="single"/>
        </w:rPr>
        <w:t>Joan KEYNES</w:t>
      </w:r>
      <w:r>
        <w:t xml:space="preserve">   (b.ca.1398)</w:t>
      </w:r>
    </w:p>
    <w:p w:rsidR="0008721B" w:rsidRDefault="0008721B" w:rsidP="00E71FC3">
      <w:pPr>
        <w:pStyle w:val="NoSpacing"/>
      </w:pPr>
    </w:p>
    <w:p w:rsidR="0008721B" w:rsidRDefault="0008721B" w:rsidP="00E71FC3">
      <w:pPr>
        <w:pStyle w:val="NoSpacing"/>
      </w:pPr>
    </w:p>
    <w:p w:rsidR="0008721B" w:rsidRDefault="0008721B" w:rsidP="00E71FC3">
      <w:pPr>
        <w:pStyle w:val="NoSpacing"/>
      </w:pPr>
      <w:r>
        <w:t>Daughter of John Keynes, junior(q.v.), and his wife, Margery.</w:t>
      </w:r>
    </w:p>
    <w:p w:rsidR="0008721B" w:rsidRDefault="0008721B" w:rsidP="00E71FC3">
      <w:pPr>
        <w:pStyle w:val="NoSpacing"/>
      </w:pPr>
      <w:r>
        <w:t>(www.inquisitionspostmortem.ac.uk  ref. eCIPM 21-583)</w:t>
      </w:r>
    </w:p>
    <w:p w:rsidR="0008721B" w:rsidRDefault="0008721B" w:rsidP="00E71FC3">
      <w:pPr>
        <w:pStyle w:val="NoSpacing"/>
      </w:pPr>
      <w:r>
        <w:t>= Sir John Speke of Haywood, Devon(q.v.).  (ibid. and H.P. p.785)</w:t>
      </w:r>
    </w:p>
    <w:p w:rsidR="0008721B" w:rsidRDefault="0008721B" w:rsidP="00E71FC3">
      <w:pPr>
        <w:pStyle w:val="NoSpacing"/>
      </w:pPr>
    </w:p>
    <w:p w:rsidR="0008721B" w:rsidRDefault="0008721B" w:rsidP="00E71FC3">
      <w:pPr>
        <w:pStyle w:val="NoSpacing"/>
      </w:pPr>
    </w:p>
    <w:p w:rsidR="0008721B" w:rsidRDefault="0008721B" w:rsidP="00E71FC3">
      <w:pPr>
        <w:pStyle w:val="NoSpacing"/>
      </w:pPr>
      <w:r>
        <w:t xml:space="preserve">  4 May1420</w:t>
      </w:r>
      <w:r>
        <w:tab/>
        <w:t>Her father died and she inherited his lands.</w:t>
      </w:r>
    </w:p>
    <w:p w:rsidR="0008721B" w:rsidRDefault="0008721B" w:rsidP="00E71FC3">
      <w:pPr>
        <w:pStyle w:val="NoSpacing"/>
      </w:pPr>
      <w:r>
        <w:tab/>
      </w:r>
      <w:r>
        <w:tab/>
        <w:t>(www.inquisitionspostmortem.ac.uk  ref. eCIPM 21-583)</w:t>
      </w:r>
    </w:p>
    <w:p w:rsidR="0008721B" w:rsidRDefault="0008721B" w:rsidP="00E71FC3">
      <w:pPr>
        <w:pStyle w:val="NoSpacing"/>
      </w:pPr>
    </w:p>
    <w:p w:rsidR="0008721B" w:rsidRDefault="0008721B" w:rsidP="00E71FC3">
      <w:pPr>
        <w:pStyle w:val="NoSpacing"/>
      </w:pPr>
    </w:p>
    <w:p w:rsidR="0008721B" w:rsidRPr="0008721B" w:rsidRDefault="0008721B" w:rsidP="00E71FC3">
      <w:pPr>
        <w:pStyle w:val="NoSpacing"/>
      </w:pPr>
      <w:r>
        <w:t>18 October 2016</w:t>
      </w:r>
      <w:bookmarkStart w:id="0" w:name="_GoBack"/>
      <w:bookmarkEnd w:id="0"/>
    </w:p>
    <w:sectPr w:rsidR="0008721B" w:rsidRPr="000872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21B" w:rsidRDefault="0008721B" w:rsidP="00E71FC3">
      <w:pPr>
        <w:spacing w:after="0" w:line="240" w:lineRule="auto"/>
      </w:pPr>
      <w:r>
        <w:separator/>
      </w:r>
    </w:p>
  </w:endnote>
  <w:endnote w:type="continuationSeparator" w:id="0">
    <w:p w:rsidR="0008721B" w:rsidRDefault="000872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21B" w:rsidRDefault="0008721B" w:rsidP="00E71FC3">
      <w:pPr>
        <w:spacing w:after="0" w:line="240" w:lineRule="auto"/>
      </w:pPr>
      <w:r>
        <w:separator/>
      </w:r>
    </w:p>
  </w:footnote>
  <w:footnote w:type="continuationSeparator" w:id="0">
    <w:p w:rsidR="0008721B" w:rsidRDefault="000872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21B"/>
    <w:rsid w:val="0008721B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060F6"/>
  <w15:chartTrackingRefBased/>
  <w15:docId w15:val="{9DBAC1FA-7BD4-43C6-9427-8864DF48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2016-10-18T20:02:00Z</dcterms:created>
  <dcterms:modified xsi:type="dcterms:W3CDTF">2016-10-18T20:06:00Z</dcterms:modified>
</cp:coreProperties>
</file>