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D94" w:rsidRDefault="001A0D94" w:rsidP="001A0D94">
      <w:pPr>
        <w:pStyle w:val="NoSpacing"/>
      </w:pPr>
      <w:r>
        <w:rPr>
          <w:u w:val="single"/>
        </w:rPr>
        <w:t>John HARRYS</w:t>
      </w:r>
      <w:r>
        <w:t xml:space="preserve">     (fl.1472)</w:t>
      </w:r>
    </w:p>
    <w:p w:rsidR="001A0D94" w:rsidRDefault="001A0D94" w:rsidP="001A0D94">
      <w:pPr>
        <w:pStyle w:val="NoSpacing"/>
      </w:pPr>
      <w:r>
        <w:t>of London. Apothecary.</w:t>
      </w:r>
    </w:p>
    <w:p w:rsidR="001A0D94" w:rsidRDefault="001A0D94" w:rsidP="001A0D94">
      <w:pPr>
        <w:pStyle w:val="NoSpacing"/>
      </w:pPr>
    </w:p>
    <w:p w:rsidR="001A0D94" w:rsidRDefault="001A0D94" w:rsidP="001A0D94">
      <w:pPr>
        <w:pStyle w:val="NoSpacing"/>
      </w:pPr>
    </w:p>
    <w:p w:rsidR="001A0D94" w:rsidRDefault="001A0D94" w:rsidP="001A0D94">
      <w:pPr>
        <w:pStyle w:val="NoSpacing"/>
      </w:pPr>
      <w:r>
        <w:t>14 Apr.1472</w:t>
      </w:r>
      <w:r>
        <w:tab/>
        <w:t xml:space="preserve">He was one of those who examined the treacle seized by order of the </w:t>
      </w:r>
    </w:p>
    <w:p w:rsidR="001A0D94" w:rsidRDefault="001A0D94" w:rsidP="001A0D94">
      <w:pPr>
        <w:pStyle w:val="NoSpacing"/>
      </w:pPr>
      <w:r>
        <w:tab/>
      </w:r>
      <w:r>
        <w:tab/>
        <w:t>Mayor, William Edward(q.v.), on 22 November 1471 and declared it to</w:t>
      </w:r>
    </w:p>
    <w:p w:rsidR="001A0D94" w:rsidRDefault="001A0D94" w:rsidP="001A0D94">
      <w:pPr>
        <w:pStyle w:val="NoSpacing"/>
      </w:pPr>
      <w:r>
        <w:tab/>
      </w:r>
      <w:r>
        <w:tab/>
        <w:t>be unwholesome.</w:t>
      </w:r>
    </w:p>
    <w:p w:rsidR="001A0D94" w:rsidRDefault="001A0D94" w:rsidP="001A0D94">
      <w:pPr>
        <w:pStyle w:val="NoSpacing"/>
      </w:pPr>
      <w:r>
        <w:tab/>
      </w:r>
      <w:r>
        <w:tab/>
        <w:t>(</w:t>
      </w:r>
      <w:hyperlink r:id="rId6" w:history="1">
        <w:r w:rsidRPr="00512C37">
          <w:rPr>
            <w:rStyle w:val="Hyperlink"/>
          </w:rPr>
          <w:t>www.british-history.ac.uk/report.aspx?compid=33648</w:t>
        </w:r>
      </w:hyperlink>
      <w:r>
        <w:t>)</w:t>
      </w:r>
    </w:p>
    <w:p w:rsidR="001A0D94" w:rsidRDefault="001A0D94" w:rsidP="001A0D94">
      <w:pPr>
        <w:pStyle w:val="NoSpacing"/>
      </w:pPr>
    </w:p>
    <w:p w:rsidR="001A0D94" w:rsidRDefault="001A0D94" w:rsidP="001A0D94">
      <w:pPr>
        <w:pStyle w:val="NoSpacing"/>
      </w:pPr>
    </w:p>
    <w:p w:rsidR="001A0D94" w:rsidRDefault="001A0D94" w:rsidP="001A0D94">
      <w:pPr>
        <w:pStyle w:val="NoSpacing"/>
      </w:pPr>
      <w:r>
        <w:t>7 April 2011</w:t>
      </w:r>
    </w:p>
    <w:p w:rsidR="00BA4020" w:rsidRDefault="001A0D94"/>
    <w:sectPr w:rsidR="00BA4020" w:rsidSect="007A38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D94" w:rsidRDefault="001A0D94" w:rsidP="00552EBA">
      <w:pPr>
        <w:spacing w:after="0" w:line="240" w:lineRule="auto"/>
      </w:pPr>
      <w:r>
        <w:separator/>
      </w:r>
    </w:p>
  </w:endnote>
  <w:endnote w:type="continuationSeparator" w:id="0">
    <w:p w:rsidR="001A0D94" w:rsidRDefault="001A0D94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A0D94">
        <w:rPr>
          <w:noProof/>
        </w:rPr>
        <w:t>30 April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D94" w:rsidRDefault="001A0D94" w:rsidP="00552EBA">
      <w:pPr>
        <w:spacing w:after="0" w:line="240" w:lineRule="auto"/>
      </w:pPr>
      <w:r>
        <w:separator/>
      </w:r>
    </w:p>
  </w:footnote>
  <w:footnote w:type="continuationSeparator" w:id="0">
    <w:p w:rsidR="001A0D94" w:rsidRDefault="001A0D94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A0D94"/>
    <w:rsid w:val="00552EBA"/>
    <w:rsid w:val="007A3863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0D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x?compid=336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2011-04-30T21:56:00Z</dcterms:created>
  <dcterms:modified xsi:type="dcterms:W3CDTF">2011-04-30T21:56:00Z</dcterms:modified>
</cp:coreProperties>
</file>