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Lawrence PYNNOK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fl.1433)</w:t>
      </w: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Jun.1433</w:t>
      </w:r>
      <w:r>
        <w:rPr>
          <w:rFonts w:ascii="Times New Roman" w:hAnsi="Times New Roman" w:cs="Times New Roman"/>
          <w:sz w:val="24"/>
          <w:szCs w:val="24"/>
        </w:rPr>
        <w:tab/>
        <w:t>He was present at the inquisition post mortem held in Salisbury into the</w:t>
      </w: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landholdings of the late Edith Stone(q.v.).</w:t>
      </w: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24-8)</w:t>
      </w: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64033E" w:rsidRDefault="0064033E" w:rsidP="0064033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January 2016</w:t>
      </w:r>
      <w:bookmarkStart w:id="0" w:name="_GoBack"/>
      <w:bookmarkEnd w:id="0"/>
    </w:p>
    <w:sectPr w:rsidR="00DD5B8A" w:rsidRPr="006403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033E" w:rsidRDefault="0064033E" w:rsidP="00564E3C">
      <w:pPr>
        <w:spacing w:after="0" w:line="240" w:lineRule="auto"/>
      </w:pPr>
      <w:r>
        <w:separator/>
      </w:r>
    </w:p>
  </w:endnote>
  <w:endnote w:type="continuationSeparator" w:id="0">
    <w:p w:rsidR="0064033E" w:rsidRDefault="0064033E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64033E">
      <w:rPr>
        <w:rFonts w:ascii="Times New Roman" w:hAnsi="Times New Roman" w:cs="Times New Roman"/>
        <w:noProof/>
        <w:sz w:val="24"/>
        <w:szCs w:val="24"/>
      </w:rPr>
      <w:t>12 January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033E" w:rsidRDefault="0064033E" w:rsidP="00564E3C">
      <w:pPr>
        <w:spacing w:after="0" w:line="240" w:lineRule="auto"/>
      </w:pPr>
      <w:r>
        <w:separator/>
      </w:r>
    </w:p>
  </w:footnote>
  <w:footnote w:type="continuationSeparator" w:id="0">
    <w:p w:rsidR="0064033E" w:rsidRDefault="0064033E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33E"/>
    <w:rsid w:val="00372DC6"/>
    <w:rsid w:val="00564E3C"/>
    <w:rsid w:val="0064033E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38AFC2"/>
  <w15:chartTrackingRefBased/>
  <w15:docId w15:val="{FCCE37C6-CA04-45C9-959C-D4FC417B0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2016-01-12T21:02:00Z</dcterms:created>
  <dcterms:modified xsi:type="dcterms:W3CDTF">2016-01-12T21:03:00Z</dcterms:modified>
</cp:coreProperties>
</file>