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F12" w:rsidRDefault="009D6F12" w:rsidP="009D6F12">
      <w:pPr>
        <w:pStyle w:val="NoSpacing"/>
      </w:pPr>
      <w:r>
        <w:rPr>
          <w:u w:val="single"/>
        </w:rPr>
        <w:t>Margaret WYLLYAMS</w:t>
      </w:r>
      <w:r>
        <w:t xml:space="preserve">      (fl.1473-4)</w:t>
      </w:r>
    </w:p>
    <w:p w:rsidR="009D6F12" w:rsidRDefault="009D6F12" w:rsidP="009D6F12">
      <w:pPr>
        <w:pStyle w:val="NoSpacing"/>
      </w:pPr>
      <w:r>
        <w:t>of Edmonton, Middlesex.</w:t>
      </w:r>
    </w:p>
    <w:p w:rsidR="009D6F12" w:rsidRDefault="009D6F12" w:rsidP="009D6F12">
      <w:pPr>
        <w:pStyle w:val="NoSpacing"/>
      </w:pPr>
    </w:p>
    <w:p w:rsidR="009D6F12" w:rsidRDefault="009D6F12" w:rsidP="009D6F12">
      <w:pPr>
        <w:pStyle w:val="NoSpacing"/>
      </w:pPr>
    </w:p>
    <w:p w:rsidR="009D6F12" w:rsidRDefault="009D6F12" w:rsidP="009D6F12">
      <w:pPr>
        <w:pStyle w:val="NoSpacing"/>
      </w:pPr>
      <w:r>
        <w:t>= Thomas(q.v.)   (</w:t>
      </w:r>
      <w:hyperlink r:id="rId7" w:history="1">
        <w:r w:rsidRPr="00F8662E">
          <w:rPr>
            <w:rStyle w:val="Hyperlink"/>
          </w:rPr>
          <w:t>www.british-history.ac.uk/report.asp?compid=78826</w:t>
        </w:r>
      </w:hyperlink>
      <w:r>
        <w:t>)</w:t>
      </w:r>
    </w:p>
    <w:p w:rsidR="009D6F12" w:rsidRDefault="009D6F12" w:rsidP="009D6F12">
      <w:pPr>
        <w:pStyle w:val="NoSpacing"/>
      </w:pPr>
    </w:p>
    <w:p w:rsidR="009D6F12" w:rsidRDefault="009D6F12" w:rsidP="009D6F12">
      <w:pPr>
        <w:pStyle w:val="NoSpacing"/>
      </w:pPr>
    </w:p>
    <w:p w:rsidR="009D6F12" w:rsidRDefault="009D6F12" w:rsidP="009D6F12">
      <w:pPr>
        <w:pStyle w:val="NoSpacing"/>
      </w:pPr>
      <w:r>
        <w:t xml:space="preserve">         1473-4</w:t>
      </w:r>
      <w:r>
        <w:tab/>
        <w:t>Settlement of the action taken against them by Richard Moton(q.v.) and</w:t>
      </w:r>
    </w:p>
    <w:p w:rsidR="009D6F12" w:rsidRDefault="009D6F12" w:rsidP="009D6F12">
      <w:pPr>
        <w:pStyle w:val="NoSpacing"/>
      </w:pPr>
      <w:r>
        <w:tab/>
      </w:r>
      <w:r>
        <w:tab/>
        <w:t>John Godezere(q.v.) over premises in Edmonton and South Mimms.</w:t>
      </w:r>
    </w:p>
    <w:p w:rsidR="009D6F12" w:rsidRDefault="009D6F12" w:rsidP="009D6F12">
      <w:pPr>
        <w:pStyle w:val="NoSpacing"/>
      </w:pPr>
      <w:r>
        <w:tab/>
      </w:r>
      <w:r>
        <w:tab/>
        <w:t>(ibid.)</w:t>
      </w:r>
    </w:p>
    <w:p w:rsidR="009D6F12" w:rsidRDefault="009D6F12" w:rsidP="009D6F12">
      <w:pPr>
        <w:pStyle w:val="NoSpacing"/>
      </w:pPr>
    </w:p>
    <w:p w:rsidR="009D6F12" w:rsidRDefault="009D6F12" w:rsidP="009D6F12">
      <w:pPr>
        <w:pStyle w:val="NoSpacing"/>
      </w:pPr>
    </w:p>
    <w:p w:rsidR="009D6F12" w:rsidRDefault="009D6F12" w:rsidP="009D6F12">
      <w:pPr>
        <w:pStyle w:val="NoSpacing"/>
      </w:pPr>
      <w:r>
        <w:t>16 November 2012</w:t>
      </w:r>
    </w:p>
    <w:p w:rsidR="00BA4020" w:rsidRPr="00186E49" w:rsidRDefault="009D6F12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F12" w:rsidRDefault="009D6F12" w:rsidP="00552EBA">
      <w:r>
        <w:separator/>
      </w:r>
    </w:p>
  </w:endnote>
  <w:endnote w:type="continuationSeparator" w:id="0">
    <w:p w:rsidR="009D6F12" w:rsidRDefault="009D6F12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9D6F12">
      <w:rPr>
        <w:noProof/>
      </w:rPr>
      <w:t>05 December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F12" w:rsidRDefault="009D6F12" w:rsidP="00552EBA">
      <w:r>
        <w:separator/>
      </w:r>
    </w:p>
  </w:footnote>
  <w:footnote w:type="continuationSeparator" w:id="0">
    <w:p w:rsidR="009D6F12" w:rsidRDefault="009D6F12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9D6F12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?compid=78826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2012-12-05T20:14:00Z</dcterms:created>
  <dcterms:modified xsi:type="dcterms:W3CDTF">2012-12-05T20:15:00Z</dcterms:modified>
</cp:coreProperties>
</file>